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CB" w:rsidRDefault="006C14E0">
      <w:pPr>
        <w:jc w:val="center"/>
        <w:rPr>
          <w:rFonts w:ascii="黑体" w:eastAsia="黑体" w:hAnsi="黑体" w:cs="Tahoma"/>
          <w:b/>
          <w:color w:val="7030A0"/>
          <w:sz w:val="32"/>
          <w:szCs w:val="32"/>
        </w:rPr>
      </w:pPr>
      <w:r w:rsidRPr="008F2BFC">
        <w:rPr>
          <w:rFonts w:eastAsia="黑体" w:cs="Tahoma" w:hint="eastAsia"/>
          <w:b/>
          <w:color w:val="7030A0"/>
          <w:sz w:val="32"/>
          <w:szCs w:val="32"/>
        </w:rPr>
        <w:t>FC-032</w:t>
      </w:r>
      <w:r w:rsidRPr="008F2BFC">
        <w:rPr>
          <w:rFonts w:eastAsia="黑体" w:cs="Tahoma" w:hint="eastAsia"/>
          <w:b/>
          <w:color w:val="7030A0"/>
          <w:sz w:val="32"/>
          <w:szCs w:val="32"/>
        </w:rPr>
        <w:t>（</w:t>
      </w:r>
      <w:r w:rsidRPr="008F2BFC">
        <w:rPr>
          <w:rFonts w:eastAsia="黑体" w:cs="Tahoma" w:hint="eastAsia"/>
          <w:b/>
          <w:color w:val="7030A0"/>
          <w:sz w:val="32"/>
          <w:szCs w:val="32"/>
        </w:rPr>
        <w:t>CAS 24801-88-5</w:t>
      </w:r>
      <w:r w:rsidRPr="008F2BFC">
        <w:rPr>
          <w:rFonts w:eastAsia="黑体" w:cs="Tahoma" w:hint="eastAsia"/>
          <w:b/>
          <w:color w:val="7030A0"/>
          <w:sz w:val="32"/>
          <w:szCs w:val="32"/>
        </w:rPr>
        <w:t>）</w:t>
      </w:r>
      <w:r w:rsidRPr="008F2BFC">
        <w:rPr>
          <w:rFonts w:eastAsia="黑体" w:cs="Tahoma"/>
          <w:b/>
          <w:color w:val="7030A0"/>
          <w:sz w:val="32"/>
          <w:szCs w:val="32"/>
        </w:rPr>
        <w:t>3-Isocyanatopropyltriethoxysilane</w:t>
      </w:r>
      <w:r w:rsidRPr="008F2BFC">
        <w:rPr>
          <w:rFonts w:eastAsia="黑体" w:cs="Tahoma" w:hint="eastAsia"/>
          <w:b/>
          <w:color w:val="7030A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2295525" cy="1647825"/>
            <wp:effectExtent l="0" t="0" r="9525" b="9525"/>
            <wp:docPr id="10" name="图片 1" descr="https://img.yybyy.com/24801-8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https://img.yybyy.com/24801-88-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CB" w:rsidRDefault="009574CB">
      <w:pPr>
        <w:jc w:val="center"/>
        <w:rPr>
          <w:rFonts w:ascii="Tahoma" w:hAnsi="Tahoma" w:cs="Tahoma"/>
          <w:color w:val="000000"/>
          <w:szCs w:val="21"/>
        </w:rPr>
      </w:pPr>
    </w:p>
    <w:p w:rsidR="009574CB" w:rsidRDefault="009574CB">
      <w:pPr>
        <w:jc w:val="center"/>
        <w:rPr>
          <w:rFonts w:ascii="黑体" w:eastAsia="黑体" w:hAnsi="黑体" w:cs="Tahoma"/>
          <w:b/>
          <w:color w:val="7030A0"/>
          <w:sz w:val="32"/>
          <w:szCs w:val="32"/>
        </w:rPr>
      </w:pPr>
    </w:p>
    <w:p w:rsidR="009574CB" w:rsidRDefault="009574CB">
      <w:pPr>
        <w:jc w:val="center"/>
        <w:rPr>
          <w:rFonts w:ascii="Tahoma" w:hAnsi="Tahoma" w:cs="Tahoma"/>
          <w:color w:val="000000"/>
          <w:szCs w:val="21"/>
        </w:rPr>
      </w:pPr>
    </w:p>
    <w:tbl>
      <w:tblPr>
        <w:tblStyle w:val="a7"/>
        <w:tblW w:w="0" w:type="auto"/>
        <w:tblInd w:w="-6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138"/>
      </w:tblGrid>
      <w:tr w:rsidR="009574CB" w:rsidRPr="008F2BFC" w:rsidTr="008F2BFC">
        <w:trPr>
          <w:trHeight w:val="1410"/>
        </w:trPr>
        <w:tc>
          <w:tcPr>
            <w:tcW w:w="1985" w:type="dxa"/>
            <w:vAlign w:val="center"/>
          </w:tcPr>
          <w:p w:rsidR="008F2BFC" w:rsidRDefault="008F2BFC" w:rsidP="008F2BFC">
            <w:pPr>
              <w:widowControl/>
              <w:shd w:val="clear" w:color="auto" w:fill="FFFFFF"/>
              <w:tabs>
                <w:tab w:val="left" w:pos="720"/>
              </w:tabs>
              <w:spacing w:line="210" w:lineRule="atLeast"/>
              <w:ind w:left="-360"/>
              <w:jc w:val="center"/>
              <w:rPr>
                <w:rFonts w:eastAsiaTheme="majorEastAsia" w:cs="Times New Roman" w:hint="eastAsia"/>
                <w:b/>
                <w:caps/>
                <w:color w:val="7030A0"/>
                <w:sz w:val="24"/>
                <w:szCs w:val="24"/>
              </w:rPr>
            </w:pPr>
            <w:r>
              <w:rPr>
                <w:rFonts w:eastAsiaTheme="majorEastAsia" w:cs="Times New Roman" w:hint="eastAsia"/>
                <w:b/>
                <w:caps/>
                <w:color w:val="7030A0"/>
                <w:sz w:val="24"/>
                <w:szCs w:val="24"/>
              </w:rPr>
              <w:t>Basic</w:t>
            </w:r>
          </w:p>
          <w:p w:rsidR="009574CB" w:rsidRPr="008F2BFC" w:rsidRDefault="006C14E0" w:rsidP="008F2BFC">
            <w:pPr>
              <w:widowControl/>
              <w:shd w:val="clear" w:color="auto" w:fill="FFFFFF"/>
              <w:tabs>
                <w:tab w:val="left" w:pos="720"/>
              </w:tabs>
              <w:spacing w:line="210" w:lineRule="atLeast"/>
              <w:ind w:left="-360"/>
              <w:jc w:val="left"/>
              <w:rPr>
                <w:rFonts w:eastAsiaTheme="majorEastAsia" w:cs="Times New Roman"/>
                <w:b/>
                <w:caps/>
                <w:color w:val="7030A0"/>
                <w:sz w:val="24"/>
                <w:szCs w:val="24"/>
              </w:rPr>
            </w:pPr>
            <w:r w:rsidRPr="008F2BFC">
              <w:rPr>
                <w:rFonts w:eastAsiaTheme="majorEastAsia" w:cs="Times New Roman"/>
                <w:b/>
                <w:caps/>
                <w:color w:val="7030A0"/>
                <w:sz w:val="24"/>
                <w:szCs w:val="24"/>
              </w:rPr>
              <w:t>Information</w:t>
            </w:r>
          </w:p>
        </w:tc>
        <w:tc>
          <w:tcPr>
            <w:tcW w:w="7138" w:type="dxa"/>
            <w:vAlign w:val="center"/>
          </w:tcPr>
          <w:p w:rsidR="009574CB" w:rsidRPr="008F2BFC" w:rsidRDefault="008F2BFC" w:rsidP="008F2BFC">
            <w:pPr>
              <w:jc w:val="left"/>
              <w:rPr>
                <w:rFonts w:cs="Helvetica"/>
                <w:sz w:val="24"/>
                <w:szCs w:val="24"/>
              </w:rPr>
            </w:pP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C</w:t>
            </w:r>
            <w:r w:rsidR="006C14E0" w:rsidRPr="008F2BFC">
              <w:rPr>
                <w:rFonts w:cs="Helvetica" w:hint="eastAsia"/>
                <w:sz w:val="24"/>
                <w:szCs w:val="24"/>
              </w:rPr>
              <w:t>as</w:t>
            </w:r>
            <w:proofErr w:type="spellEnd"/>
            <w:r w:rsidR="006C14E0" w:rsidRPr="008F2BFC">
              <w:rPr>
                <w:rFonts w:cs="Helvetica" w:hint="eastAsia"/>
                <w:sz w:val="24"/>
                <w:szCs w:val="24"/>
              </w:rPr>
              <w:t>: 24801-88-5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 xml:space="preserve">Chinese name: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isocyanate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 xml:space="preserve"> propyl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triethoxy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 xml:space="preserve">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silane</w:t>
            </w:r>
            <w:proofErr w:type="spellEnd"/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Chinese alias: 3-(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triethoxysilyl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 xml:space="preserve">) propyl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isocyanate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 xml:space="preserve">; (3-isocyanate propyl)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triethoxy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 xml:space="preserve">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silane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>; 3-(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triethoxysilyl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>)</w:t>
            </w:r>
            <w:r w:rsidRPr="008F2BFC">
              <w:rPr>
                <w:rFonts w:cs="Helvetica" w:hint="eastAsia"/>
                <w:sz w:val="24"/>
                <w:szCs w:val="24"/>
              </w:rPr>
              <w:t xml:space="preserve"> propyl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isocyanate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>; (3-isocyanopropyl)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triethoxysilane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>;-3-(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triethoxysilyl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 xml:space="preserve">)propyl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isocyanate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>;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English name: 3-Isocyanatopropyltriethoxysilane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English alias: 3-Isocyanatopropyltriethoxysil;Isocyanic Acid 3-(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Triethoxysilyl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>)propyl Ester;i7840;3-(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Triethoxysilyl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>)</w:t>
            </w:r>
            <w:r w:rsidRPr="008F2BFC">
              <w:rPr>
                <w:rFonts w:cs="Helvetica" w:hint="eastAsia"/>
                <w:sz w:val="24"/>
                <w:szCs w:val="24"/>
              </w:rPr>
              <w:t xml:space="preserve">propyl isocyanate;(3-Isocyanatopropyl)triethoxysilane;yh9030;y9030;3-isocyanatepropyltriethoxysilane;1-triethoxysilyl-3-isocyanatopropane;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Triethoxy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 xml:space="preserve">(3-isocyanatopropyl)silane;3-triethoxysilanylpropyl </w:t>
            </w:r>
            <w:proofErr w:type="spellStart"/>
            <w:r w:rsidRPr="008F2BFC">
              <w:rPr>
                <w:rFonts w:cs="Helvetica" w:hint="eastAsia"/>
                <w:sz w:val="24"/>
                <w:szCs w:val="24"/>
              </w:rPr>
              <w:t>isocyanate;Isocyanatopropyltriethoxysilane</w:t>
            </w:r>
            <w:proofErr w:type="spellEnd"/>
            <w:r w:rsidRPr="008F2BFC">
              <w:rPr>
                <w:rFonts w:cs="Helvetica" w:hint="eastAsia"/>
                <w:sz w:val="24"/>
                <w:szCs w:val="24"/>
              </w:rPr>
              <w:t>;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Molecular fo</w:t>
            </w:r>
            <w:r w:rsidRPr="008F2BFC">
              <w:rPr>
                <w:rFonts w:cs="Helvetica" w:hint="eastAsia"/>
                <w:sz w:val="24"/>
                <w:szCs w:val="24"/>
              </w:rPr>
              <w:t>rmula: C10H21NO4Si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Molecular weight: 247.36400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PSA: 57.12000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LOGP: 1.76070</w:t>
            </w:r>
          </w:p>
        </w:tc>
      </w:tr>
      <w:tr w:rsidR="009574CB" w:rsidRPr="008F2BFC" w:rsidTr="008F2BFC">
        <w:trPr>
          <w:trHeight w:val="3389"/>
        </w:trPr>
        <w:tc>
          <w:tcPr>
            <w:tcW w:w="1985" w:type="dxa"/>
            <w:vAlign w:val="center"/>
          </w:tcPr>
          <w:p w:rsidR="009574CB" w:rsidRPr="008F2BFC" w:rsidRDefault="006C14E0" w:rsidP="008F2BFC">
            <w:pPr>
              <w:widowControl/>
              <w:shd w:val="clear" w:color="auto" w:fill="FFFFFF"/>
              <w:tabs>
                <w:tab w:val="left" w:pos="720"/>
              </w:tabs>
              <w:spacing w:line="210" w:lineRule="atLeast"/>
              <w:ind w:hanging="360"/>
              <w:jc w:val="left"/>
              <w:rPr>
                <w:rFonts w:eastAsiaTheme="majorEastAsia" w:cs="Times New Roman"/>
                <w:b/>
                <w:caps/>
                <w:color w:val="7030A0"/>
                <w:sz w:val="24"/>
                <w:szCs w:val="24"/>
              </w:rPr>
            </w:pPr>
            <w:r w:rsidRPr="008F2BFC">
              <w:rPr>
                <w:rFonts w:eastAsiaTheme="majorEastAsia" w:cs="Times New Roman"/>
                <w:b/>
                <w:caps/>
                <w:color w:val="7030A0"/>
                <w:sz w:val="24"/>
                <w:szCs w:val="24"/>
              </w:rPr>
              <w:t>Physical index</w:t>
            </w:r>
          </w:p>
          <w:p w:rsidR="009574CB" w:rsidRPr="008F2BFC" w:rsidRDefault="009574CB" w:rsidP="008F2BFC">
            <w:pPr>
              <w:widowControl/>
              <w:shd w:val="clear" w:color="auto" w:fill="FFFFFF"/>
              <w:tabs>
                <w:tab w:val="left" w:pos="720"/>
              </w:tabs>
              <w:spacing w:line="210" w:lineRule="atLeast"/>
              <w:ind w:hanging="360"/>
              <w:jc w:val="left"/>
              <w:rPr>
                <w:rFonts w:eastAsiaTheme="majorEastAsia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9574CB" w:rsidRPr="008F2BFC" w:rsidRDefault="006C14E0" w:rsidP="008F2BFC">
            <w:pPr>
              <w:pBdr>
                <w:left w:val="single" w:sz="6" w:space="3" w:color="2B2B2B"/>
              </w:pBd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Appearance and properties: colorless to yellow liquid</w:t>
            </w:r>
          </w:p>
          <w:p w:rsidR="009574CB" w:rsidRPr="008F2BFC" w:rsidRDefault="006C14E0" w:rsidP="008F2BFC">
            <w:pPr>
              <w:pBdr>
                <w:left w:val="single" w:sz="6" w:space="3" w:color="2B2B2B"/>
              </w:pBd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 xml:space="preserve">Density: 0.999 g/mL at 25 </w:t>
            </w:r>
            <w:r w:rsidRPr="008F2BFC">
              <w:rPr>
                <w:rFonts w:cs="Helvetica" w:hint="eastAsia"/>
                <w:sz w:val="24"/>
                <w:szCs w:val="24"/>
              </w:rPr>
              <w:t>°</w:t>
            </w:r>
            <w:r w:rsidRPr="008F2BFC">
              <w:rPr>
                <w:rFonts w:cs="Helvetica" w:hint="eastAsia"/>
                <w:sz w:val="24"/>
                <w:szCs w:val="24"/>
              </w:rPr>
              <w:t>C(lit.)</w:t>
            </w:r>
          </w:p>
          <w:p w:rsidR="009574CB" w:rsidRPr="008F2BFC" w:rsidRDefault="006C14E0" w:rsidP="008F2BFC">
            <w:pPr>
              <w:pBdr>
                <w:left w:val="single" w:sz="6" w:space="3" w:color="2B2B2B"/>
              </w:pBd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 xml:space="preserve">Boiling point: 283 </w:t>
            </w:r>
            <w:r w:rsidRPr="008F2BFC">
              <w:rPr>
                <w:rFonts w:cs="Helvetica" w:hint="eastAsia"/>
                <w:sz w:val="24"/>
                <w:szCs w:val="24"/>
              </w:rPr>
              <w:t>°</w:t>
            </w:r>
            <w:r w:rsidRPr="008F2BFC">
              <w:rPr>
                <w:rFonts w:cs="Helvetica" w:hint="eastAsia"/>
                <w:sz w:val="24"/>
                <w:szCs w:val="24"/>
              </w:rPr>
              <w:t>C(lit.)</w:t>
            </w:r>
          </w:p>
          <w:p w:rsidR="009574CB" w:rsidRPr="008F2BFC" w:rsidRDefault="006C14E0" w:rsidP="008F2BFC">
            <w:pPr>
              <w:pBdr>
                <w:left w:val="single" w:sz="6" w:space="3" w:color="2B2B2B"/>
              </w:pBd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Melting point: &lt;0</w:t>
            </w:r>
            <w:r w:rsidRPr="008F2BFC">
              <w:rPr>
                <w:rFonts w:cs="Helvetica" w:hint="eastAsia"/>
                <w:sz w:val="24"/>
                <w:szCs w:val="24"/>
              </w:rPr>
              <w:t>º</w:t>
            </w:r>
            <w:r w:rsidRPr="008F2BFC">
              <w:rPr>
                <w:rFonts w:cs="Helvetica" w:hint="eastAsia"/>
                <w:sz w:val="24"/>
                <w:szCs w:val="24"/>
              </w:rPr>
              <w:t>C</w:t>
            </w:r>
          </w:p>
          <w:p w:rsidR="009574CB" w:rsidRPr="008F2BFC" w:rsidRDefault="006C14E0" w:rsidP="008F2BFC">
            <w:pPr>
              <w:pBdr>
                <w:left w:val="single" w:sz="6" w:space="3" w:color="2B2B2B"/>
              </w:pBd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 xml:space="preserve">Flash point: 171 </w:t>
            </w:r>
            <w:r w:rsidRPr="008F2BFC">
              <w:rPr>
                <w:rFonts w:cs="Helvetica" w:hint="eastAsia"/>
                <w:sz w:val="24"/>
                <w:szCs w:val="24"/>
              </w:rPr>
              <w:t>°</w:t>
            </w:r>
            <w:r w:rsidRPr="008F2BFC">
              <w:rPr>
                <w:rFonts w:cs="Helvetica" w:hint="eastAsia"/>
                <w:sz w:val="24"/>
                <w:szCs w:val="24"/>
              </w:rPr>
              <w:t>F</w:t>
            </w:r>
          </w:p>
          <w:p w:rsidR="009574CB" w:rsidRPr="008F2BFC" w:rsidRDefault="006C14E0" w:rsidP="008F2BFC">
            <w:pPr>
              <w:pBdr>
                <w:left w:val="single" w:sz="6" w:space="3" w:color="2B2B2B"/>
              </w:pBd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Refractive index: n20/D 1.42(lit.)</w:t>
            </w:r>
          </w:p>
          <w:p w:rsidR="009574CB" w:rsidRPr="008F2BFC" w:rsidRDefault="006C14E0" w:rsidP="008F2BFC">
            <w:pPr>
              <w:pBdr>
                <w:left w:val="single" w:sz="6" w:space="3" w:color="2B2B2B"/>
              </w:pBd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Storage conditions: 2-8</w:t>
            </w:r>
            <w:r w:rsidRPr="008F2BFC">
              <w:rPr>
                <w:rFonts w:cs="Helvetica" w:hint="eastAsia"/>
                <w:sz w:val="24"/>
                <w:szCs w:val="24"/>
              </w:rPr>
              <w:t>º</w:t>
            </w:r>
            <w:r w:rsidRPr="008F2BFC">
              <w:rPr>
                <w:rFonts w:cs="Helvetica" w:hint="eastAsia"/>
                <w:sz w:val="24"/>
                <w:szCs w:val="24"/>
              </w:rPr>
              <w:t>C</w:t>
            </w:r>
          </w:p>
          <w:p w:rsidR="009574CB" w:rsidRPr="008F2BFC" w:rsidRDefault="006C14E0" w:rsidP="008F2BFC">
            <w:pPr>
              <w:pBdr>
                <w:left w:val="single" w:sz="6" w:space="3" w:color="2B2B2B"/>
              </w:pBd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Vapor pressure: 0.0106mmHg at 25</w:t>
            </w:r>
            <w:r w:rsidRPr="008F2BFC">
              <w:rPr>
                <w:rFonts w:cs="Helvetica" w:hint="eastAsia"/>
                <w:sz w:val="24"/>
                <w:szCs w:val="24"/>
              </w:rPr>
              <w:t>°</w:t>
            </w:r>
            <w:r w:rsidRPr="008F2BFC">
              <w:rPr>
                <w:rFonts w:cs="Helvetica" w:hint="eastAsia"/>
                <w:sz w:val="24"/>
                <w:szCs w:val="24"/>
              </w:rPr>
              <w:t>C</w:t>
            </w:r>
          </w:p>
          <w:p w:rsidR="009574CB" w:rsidRPr="008F2BFC" w:rsidRDefault="006C14E0" w:rsidP="008F2BFC">
            <w:pPr>
              <w:pBdr>
                <w:left w:val="single" w:sz="6" w:space="3" w:color="2B2B2B"/>
              </w:pBd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RTECS number: VV6691000</w:t>
            </w:r>
          </w:p>
        </w:tc>
      </w:tr>
      <w:tr w:rsidR="009574CB" w:rsidRPr="008F2BFC" w:rsidTr="008F2BFC">
        <w:trPr>
          <w:trHeight w:val="1353"/>
        </w:trPr>
        <w:tc>
          <w:tcPr>
            <w:tcW w:w="1985" w:type="dxa"/>
            <w:vAlign w:val="center"/>
          </w:tcPr>
          <w:p w:rsidR="009574CB" w:rsidRPr="008F2BFC" w:rsidRDefault="006C14E0" w:rsidP="008F2BFC">
            <w:pPr>
              <w:widowControl/>
              <w:shd w:val="clear" w:color="auto" w:fill="FFFFFF"/>
              <w:tabs>
                <w:tab w:val="left" w:pos="720"/>
              </w:tabs>
              <w:spacing w:line="210" w:lineRule="atLeast"/>
              <w:ind w:hanging="360"/>
              <w:jc w:val="left"/>
              <w:rPr>
                <w:rFonts w:eastAsiaTheme="majorEastAsia" w:cs="Times New Roman"/>
                <w:b/>
                <w:caps/>
                <w:color w:val="7030A0"/>
                <w:sz w:val="24"/>
                <w:szCs w:val="24"/>
              </w:rPr>
            </w:pPr>
            <w:r w:rsidRPr="008F2BFC">
              <w:rPr>
                <w:rFonts w:eastAsiaTheme="majorEastAsia" w:cs="Times New Roman"/>
                <w:b/>
                <w:caps/>
                <w:color w:val="7030A0"/>
                <w:sz w:val="24"/>
                <w:szCs w:val="24"/>
              </w:rPr>
              <w:lastRenderedPageBreak/>
              <w:t>Security Information</w:t>
            </w:r>
          </w:p>
          <w:p w:rsidR="009574CB" w:rsidRPr="008F2BFC" w:rsidRDefault="009574CB" w:rsidP="008F2BFC">
            <w:pPr>
              <w:widowControl/>
              <w:shd w:val="clear" w:color="auto" w:fill="FFFFFF"/>
              <w:tabs>
                <w:tab w:val="left" w:pos="720"/>
              </w:tabs>
              <w:spacing w:line="210" w:lineRule="atLeast"/>
              <w:ind w:hanging="360"/>
              <w:jc w:val="left"/>
              <w:rPr>
                <w:rFonts w:eastAsiaTheme="majorEastAsia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Safety instructions: S23-S26-S28-S36/37/39-S45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WGK Germany: 3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Hazard category code: R21/22; R26; R34; R42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Customs</w:t>
            </w:r>
            <w:r w:rsidRPr="008F2BFC">
              <w:rPr>
                <w:rFonts w:cs="Helvetica" w:hint="eastAsia"/>
                <w:sz w:val="24"/>
                <w:szCs w:val="24"/>
              </w:rPr>
              <w:t xml:space="preserve"> code: 2931900090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Dangerous goods transport code: UN 3390 6.1/PG 1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Hazard category: 6.1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Packing level: III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Dangerous goods mark: T+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Hazard description: H302 + H312; H314; H330; H334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Danger signs: GHS05, GHS06, GHS08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Hazard prevention statement: P260; P280;</w:t>
            </w:r>
            <w:r w:rsidRPr="008F2BFC">
              <w:rPr>
                <w:rFonts w:cs="Helvetica" w:hint="eastAsia"/>
                <w:sz w:val="24"/>
                <w:szCs w:val="24"/>
              </w:rPr>
              <w:t xml:space="preserve"> P284; P303 + P361 + P353; P304 + P340 + P310; P305 + P351 + P338</w:t>
            </w:r>
          </w:p>
          <w:p w:rsidR="009574CB" w:rsidRPr="008F2BFC" w:rsidRDefault="006C14E0" w:rsidP="008F2BFC">
            <w:pPr>
              <w:jc w:val="left"/>
              <w:rPr>
                <w:rFonts w:cs="Helvetica"/>
                <w:sz w:val="24"/>
                <w:szCs w:val="24"/>
              </w:rPr>
            </w:pPr>
            <w:r w:rsidRPr="008F2BFC">
              <w:rPr>
                <w:rFonts w:cs="Helvetica" w:hint="eastAsia"/>
                <w:sz w:val="24"/>
                <w:szCs w:val="24"/>
              </w:rPr>
              <w:t>Signal word: Danger</w:t>
            </w:r>
          </w:p>
        </w:tc>
      </w:tr>
    </w:tbl>
    <w:p w:rsidR="009574CB" w:rsidRDefault="009574CB">
      <w:bookmarkStart w:id="0" w:name="_GoBack"/>
      <w:bookmarkEnd w:id="0"/>
    </w:p>
    <w:sectPr w:rsidR="009574C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E0" w:rsidRDefault="006C14E0">
      <w:r>
        <w:separator/>
      </w:r>
    </w:p>
  </w:endnote>
  <w:endnote w:type="continuationSeparator" w:id="0">
    <w:p w:rsidR="006C14E0" w:rsidRDefault="006C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CB" w:rsidRDefault="006C14E0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>
      <w:rPr>
        <w:rFonts w:ascii="Times New Roman" w:eastAsia="宋体" w:hAnsi="Times New Roman" w:cs="Times New Roman"/>
        <w:b/>
        <w:noProof/>
        <w:color w:val="7030A0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7620</wp:posOffset>
              </wp:positionV>
              <wp:extent cx="5448300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795D9B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接连接符 2" o:spid="_x0000_s1026" o:spt="20" style="position:absolute;left:0pt;margin-left:-3.75pt;margin-top:0.6pt;height:0pt;width:429pt;z-index:251660288;mso-width-relative:page;mso-height-relative:page;" filled="f" stroked="t" coordsize="21600,21600" o:gfxdata="UEsDBAoAAAAAAIdO4kAAAAAAAAAAAAAAAAAEAAAAZHJzL1BLAwQUAAAACACHTuJACC2UIdIAAAAG&#10;AQAADwAAAGRycy9kb3ducmV2LnhtbE2Oy07DMBBF90j8gzVI7FqnlQptGqeLVhVrQnksp/GQRMTj&#10;KHbT5O8Z2MDyzL26c7Ld6Fo1UB8azwYW8wQUceltw5WB08txtgYVIrLF1jMZmCjALr+9yTC1/srP&#10;NBSxUjLCIUUDdYxdqnUoa3IY5r4jluzT9w6jYF9p2+NVxl2rl0nyoB02LB9q7GhfU/lVXJyB+HZ4&#10;Or4fTuMeP4bNVAzNq4+TMfd3i2QLKtIY/8rwoy/qkIvT2V/YBtUamD2upCn3JSiJ16tE+PzLOs/0&#10;f/38G1BLAwQUAAAACACHTuJA9KKMIvoBAADkAwAADgAAAGRycy9lMm9Eb2MueG1srVPNbhMxEL4j&#10;8Q6W72STtIFm1U0lGsoFQSTgASa2d9eS/+RxsslL8AJI3ODEsXfehvIYjHfTFMolBy722DP+Zr5v&#10;xpdXO2vYVkXU3lV8MhpzppzwUrum4h8/3Dy74AwTOAnGO1XxvUJ+tXj65LILpZr61hupIiMQh2UX&#10;Kt6mFMqiQNEqCzjyQTly1j5aSHSMTSEjdIRuTTEdj58XnY8yRC8UIt0uByc/IMZTAH1da6GWXmys&#10;cmlAjcpAIkrY6oB80Vdb10qkd3WNKjFTcWKa+pWSkL3Oa7G4hLKJEFotDiXAKSU84mRBO0p6hFpC&#10;AraJ+h8oq0X06Os0Et4WA5FeEWIxGT/S5n0LQfVcSGoMR9Hx/8GKt9tVZFpW/IwzB5Yafvf59uen&#10;r79+fKH17vs3Ns0idQFLir12q3g4YVjFzHhXR5t34sJ2vbD7o7Bql5igy9n5+cXZmDQX977i4WGI&#10;mF4rb1k2Km60y5yhhO0bTJSMQu9D8rVxrKv4fDadERzQANbUeDJtIBLomv4teqPljTYmv8DYrK9N&#10;ZFugIXgxny3nLzMlwv0rLCdZArZDXO8axqNVIF85ydI+kDyOfgXPJVglOTOKPlG2CBDKBNqcEkmp&#10;jaMKsqqDjtlae7mnZmxC1E1LSkz6KrOHmt/XexjUPF1/nnukh8+5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LZQh0gAAAAYBAAAPAAAAAAAAAAEAIAAAACIAAABkcnMvZG93bnJldi54bWxQSwEC&#10;FAAUAAAACACHTuJA9KKMIvoBAADkAwAADgAAAAAAAAABACAAAAAhAQAAZHJzL2Uyb0RvYy54bWxQ&#10;SwUGAAAAAAYABgBZAQAAjQUAAAAA&#10;">
              <v:fill on="f" focussize="0,0"/>
              <v:stroke color="#795D9B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Anhui </w:t>
    </w:r>
    <w:proofErr w:type="spellStart"/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Sinograce</w:t>
    </w:r>
    <w:proofErr w:type="spellEnd"/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Chemical Co., Ltd.    Add.: </w:t>
    </w:r>
    <w:r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  <w:t>Hefei city, Anhui province, China</w:t>
    </w:r>
  </w:p>
  <w:p w:rsidR="009574CB" w:rsidRDefault="006C14E0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Tel: +86-0551-63459511              Mob: +86 15755193346</w:t>
    </w:r>
  </w:p>
  <w:p w:rsidR="009574CB" w:rsidRDefault="006C14E0">
    <w:pPr>
      <w:widowControl/>
      <w:jc w:val="left"/>
      <w:rPr>
        <w:rFonts w:ascii="Times New Roman" w:eastAsia="宋体" w:hAnsi="Times New Roman" w:cs="Times New Roman"/>
        <w:b/>
        <w:color w:val="7030A0"/>
        <w:kern w:val="0"/>
        <w:sz w:val="24"/>
        <w:szCs w:val="24"/>
      </w:rPr>
    </w:pPr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Email: </w:t>
    </w:r>
    <w:hyperlink r:id="rId1" w:history="1">
      <w:r>
        <w:rPr>
          <w:rStyle w:val="a8"/>
          <w:rFonts w:ascii="Times New Roman" w:eastAsia="宋体" w:hAnsi="Times New Roman" w:cs="Times New Roman" w:hint="eastAsia"/>
          <w:b/>
          <w:kern w:val="0"/>
          <w:sz w:val="24"/>
          <w:szCs w:val="24"/>
        </w:rPr>
        <w:t>sales@sinogracechem.com</w:t>
      </w:r>
    </w:hyperlink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    Web: </w:t>
    </w:r>
    <w:hyperlink r:id="rId2" w:history="1">
      <w:r>
        <w:rPr>
          <w:rStyle w:val="a8"/>
          <w:rFonts w:ascii="Times New Roman" w:eastAsia="宋体" w:hAnsi="Times New Roman" w:cs="Times New Roman" w:hint="eastAsia"/>
          <w:b/>
          <w:kern w:val="0"/>
          <w:sz w:val="24"/>
          <w:szCs w:val="24"/>
        </w:rPr>
        <w:t>www.sinogracechem.com</w:t>
      </w:r>
    </w:hyperlink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</w:t>
    </w:r>
  </w:p>
  <w:p w:rsidR="009574CB" w:rsidRDefault="009574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E0" w:rsidRDefault="006C14E0">
      <w:r>
        <w:separator/>
      </w:r>
    </w:p>
  </w:footnote>
  <w:footnote w:type="continuationSeparator" w:id="0">
    <w:p w:rsidR="006C14E0" w:rsidRDefault="006C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CB" w:rsidRDefault="006C14E0">
    <w:pPr>
      <w:pStyle w:val="a5"/>
      <w:jc w:val="left"/>
      <w:rPr>
        <w:b/>
        <w:caps/>
        <w:color w:val="00B050"/>
        <w:sz w:val="52"/>
        <w:szCs w:val="52"/>
      </w:rPr>
    </w:pPr>
    <w:r>
      <w:rPr>
        <w:rFonts w:ascii="仿宋" w:eastAsia="仿宋" w:hAnsi="仿宋" w:cs="宋体"/>
        <w:noProof/>
        <w:kern w:val="0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-426085</wp:posOffset>
          </wp:positionV>
          <wp:extent cx="1828800" cy="393065"/>
          <wp:effectExtent l="0" t="0" r="0" b="6985"/>
          <wp:wrapNone/>
          <wp:docPr id="1" name="图片 1" descr="C:\Users\Administrator\AppData\Roaming\Tencent\Users\278504123\QQ\WinTemp\RichOle\N7]L2%9JKATMU_N79M{(E8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AppData\Roaming\Tencent\Users\278504123\QQ\WinTemp\RichOle\N7]L2%9JKATMU_N79M{(E8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hint="eastAsia"/>
        <w:b/>
        <w:caps/>
        <w:color w:val="00B050"/>
        <w:sz w:val="32"/>
        <w:szCs w:val="32"/>
      </w:rPr>
      <w:t xml:space="preserve">tds            </w:t>
    </w:r>
    <w:r>
      <w:rPr>
        <w:rFonts w:ascii="仿宋" w:eastAsia="仿宋" w:hAnsi="仿宋" w:hint="eastAsia"/>
        <w:b/>
        <w:caps/>
        <w:color w:val="00B050"/>
        <w:sz w:val="52"/>
        <w:szCs w:val="52"/>
      </w:rPr>
      <w:t xml:space="preserve"> </w:t>
    </w:r>
    <w:r>
      <w:rPr>
        <w:rFonts w:hint="eastAsia"/>
        <w:b/>
        <w:caps/>
        <w:color w:val="00B050"/>
        <w:sz w:val="52"/>
        <w:szCs w:val="52"/>
      </w:rPr>
      <w:t xml:space="preserve">       </w:t>
    </w:r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Anhui </w:t>
    </w:r>
    <w:proofErr w:type="spellStart"/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>Sinograce</w:t>
    </w:r>
    <w:proofErr w:type="spellEnd"/>
    <w:r>
      <w:rPr>
        <w:rFonts w:ascii="Times New Roman" w:eastAsia="宋体" w:hAnsi="Times New Roman" w:cs="Times New Roman" w:hint="eastAsia"/>
        <w:b/>
        <w:color w:val="7030A0"/>
        <w:kern w:val="0"/>
        <w:sz w:val="24"/>
        <w:szCs w:val="24"/>
      </w:rPr>
      <w:t xml:space="preserve"> Chemical Co., 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3788"/>
    <w:multiLevelType w:val="multilevel"/>
    <w:tmpl w:val="54D837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06A67"/>
    <w:multiLevelType w:val="multilevel"/>
    <w:tmpl w:val="56106A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FE"/>
    <w:rsid w:val="000253DF"/>
    <w:rsid w:val="00030510"/>
    <w:rsid w:val="00036CA8"/>
    <w:rsid w:val="00073235"/>
    <w:rsid w:val="00076303"/>
    <w:rsid w:val="000B3C23"/>
    <w:rsid w:val="000C3E91"/>
    <w:rsid w:val="000D6ABD"/>
    <w:rsid w:val="000E1B54"/>
    <w:rsid w:val="000E1F8F"/>
    <w:rsid w:val="00104A0F"/>
    <w:rsid w:val="0013153A"/>
    <w:rsid w:val="00162C48"/>
    <w:rsid w:val="00192CD1"/>
    <w:rsid w:val="001A7F84"/>
    <w:rsid w:val="001B68B9"/>
    <w:rsid w:val="001C40ED"/>
    <w:rsid w:val="001E2C19"/>
    <w:rsid w:val="001F72FE"/>
    <w:rsid w:val="0026756D"/>
    <w:rsid w:val="002F00E8"/>
    <w:rsid w:val="0033588D"/>
    <w:rsid w:val="00352E7B"/>
    <w:rsid w:val="00394805"/>
    <w:rsid w:val="003D162B"/>
    <w:rsid w:val="003E73D9"/>
    <w:rsid w:val="003F40A3"/>
    <w:rsid w:val="004079A7"/>
    <w:rsid w:val="00414C02"/>
    <w:rsid w:val="00442649"/>
    <w:rsid w:val="0045105D"/>
    <w:rsid w:val="004744D6"/>
    <w:rsid w:val="004B64AD"/>
    <w:rsid w:val="004C1C37"/>
    <w:rsid w:val="004E08BF"/>
    <w:rsid w:val="004F4EF8"/>
    <w:rsid w:val="005017A0"/>
    <w:rsid w:val="005112F4"/>
    <w:rsid w:val="0053352F"/>
    <w:rsid w:val="005366CB"/>
    <w:rsid w:val="005D7795"/>
    <w:rsid w:val="005E6B5E"/>
    <w:rsid w:val="005F4641"/>
    <w:rsid w:val="00614D92"/>
    <w:rsid w:val="006465B4"/>
    <w:rsid w:val="00690CBE"/>
    <w:rsid w:val="006A05F2"/>
    <w:rsid w:val="006A43D1"/>
    <w:rsid w:val="006C14E0"/>
    <w:rsid w:val="006C797E"/>
    <w:rsid w:val="006D7B87"/>
    <w:rsid w:val="006E350F"/>
    <w:rsid w:val="007243C9"/>
    <w:rsid w:val="00732D76"/>
    <w:rsid w:val="007352F0"/>
    <w:rsid w:val="007660D8"/>
    <w:rsid w:val="007876A3"/>
    <w:rsid w:val="007933C4"/>
    <w:rsid w:val="00793F0C"/>
    <w:rsid w:val="00797CF3"/>
    <w:rsid w:val="007A22EF"/>
    <w:rsid w:val="007F189A"/>
    <w:rsid w:val="0083280B"/>
    <w:rsid w:val="0083357E"/>
    <w:rsid w:val="0085062A"/>
    <w:rsid w:val="00866D15"/>
    <w:rsid w:val="008E5220"/>
    <w:rsid w:val="008F2BFC"/>
    <w:rsid w:val="00923823"/>
    <w:rsid w:val="00937EAA"/>
    <w:rsid w:val="0094426A"/>
    <w:rsid w:val="009574CB"/>
    <w:rsid w:val="009D2996"/>
    <w:rsid w:val="009D33AC"/>
    <w:rsid w:val="009E68C7"/>
    <w:rsid w:val="009F0F68"/>
    <w:rsid w:val="00A94F2A"/>
    <w:rsid w:val="00AD2F02"/>
    <w:rsid w:val="00AE072A"/>
    <w:rsid w:val="00AF093F"/>
    <w:rsid w:val="00B15F4E"/>
    <w:rsid w:val="00B413EC"/>
    <w:rsid w:val="00B850FB"/>
    <w:rsid w:val="00B94ABA"/>
    <w:rsid w:val="00BE1058"/>
    <w:rsid w:val="00C057C1"/>
    <w:rsid w:val="00C07DE9"/>
    <w:rsid w:val="00C3245F"/>
    <w:rsid w:val="00C525FD"/>
    <w:rsid w:val="00C56D69"/>
    <w:rsid w:val="00CB4A7A"/>
    <w:rsid w:val="00CB5B9F"/>
    <w:rsid w:val="00CC3211"/>
    <w:rsid w:val="00CC59F6"/>
    <w:rsid w:val="00CD2242"/>
    <w:rsid w:val="00CE13FC"/>
    <w:rsid w:val="00CF089F"/>
    <w:rsid w:val="00CF5DA4"/>
    <w:rsid w:val="00D0115C"/>
    <w:rsid w:val="00D16E10"/>
    <w:rsid w:val="00D72FFB"/>
    <w:rsid w:val="00D75C84"/>
    <w:rsid w:val="00D83D41"/>
    <w:rsid w:val="00D86F9B"/>
    <w:rsid w:val="00DE43D4"/>
    <w:rsid w:val="00DF4395"/>
    <w:rsid w:val="00DF5293"/>
    <w:rsid w:val="00E6173E"/>
    <w:rsid w:val="00E80D27"/>
    <w:rsid w:val="00E95887"/>
    <w:rsid w:val="00E95C49"/>
    <w:rsid w:val="00EC1318"/>
    <w:rsid w:val="00F458B8"/>
    <w:rsid w:val="00F75DDC"/>
    <w:rsid w:val="00F80348"/>
    <w:rsid w:val="00F82171"/>
    <w:rsid w:val="00F93152"/>
    <w:rsid w:val="00FA61A2"/>
    <w:rsid w:val="00FE79D7"/>
    <w:rsid w:val="0D2C6805"/>
    <w:rsid w:val="0D8F4F0E"/>
    <w:rsid w:val="14802BD9"/>
    <w:rsid w:val="16810A98"/>
    <w:rsid w:val="24576913"/>
    <w:rsid w:val="2AD110E5"/>
    <w:rsid w:val="361A78DF"/>
    <w:rsid w:val="386C52F2"/>
    <w:rsid w:val="3C995986"/>
    <w:rsid w:val="4E723068"/>
    <w:rsid w:val="5F331C5A"/>
    <w:rsid w:val="68BD1216"/>
    <w:rsid w:val="6B3019BE"/>
    <w:rsid w:val="746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浅色底纹1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浅色底纹1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ogracechem.com" TargetMode="External"/><Relationship Id="rId1" Type="http://schemas.openxmlformats.org/officeDocument/2006/relationships/hyperlink" Target="mailto:sales@sinogracech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1375</Characters>
  <Application>Microsoft Office Word</Application>
  <DocSecurity>0</DocSecurity>
  <Lines>11</Lines>
  <Paragraphs>3</Paragraphs>
  <ScaleCrop>false</ScaleCrop>
  <Company>微软中国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77</cp:revision>
  <cp:lastPrinted>2016-11-23T10:05:00Z</cp:lastPrinted>
  <dcterms:created xsi:type="dcterms:W3CDTF">2016-11-22T13:27:00Z</dcterms:created>
  <dcterms:modified xsi:type="dcterms:W3CDTF">2021-07-05T07:52:00Z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EE7EB5131AE34298BC16EECFC2AEB95C</vt:lpwstr>
  </property>
</Properties>
</file>